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79E0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《</w:t>
      </w:r>
      <w:r>
        <w:rPr>
          <w:rFonts w:ascii="Times New Roman" w:hAnsi="Times New Roman" w:eastAsia="方正小标宋_GBK" w:cs="Times New Roman"/>
          <w:sz w:val="44"/>
          <w:szCs w:val="44"/>
        </w:rPr>
        <w:t>磐安县</w:t>
      </w:r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农业农村局</w:t>
      </w:r>
      <w:r>
        <w:rPr>
          <w:rFonts w:ascii="Times New Roman" w:hAnsi="Times New Roman" w:eastAsia="方正小标宋_GBK" w:cs="Times New Roman"/>
          <w:sz w:val="44"/>
          <w:szCs w:val="44"/>
        </w:rPr>
        <w:t>关于公布行政</w:t>
      </w:r>
    </w:p>
    <w:p w14:paraId="62C8699A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规范性文件清理结果的通知</w:t>
      </w:r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》起草说明</w:t>
      </w:r>
    </w:p>
    <w:p w14:paraId="6E7B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p w14:paraId="6DB3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一、起草背景</w:t>
      </w:r>
    </w:p>
    <w:p w14:paraId="0878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为加强法治政府建设，确保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县农业农村局</w:t>
      </w:r>
      <w:r>
        <w:rPr>
          <w:rFonts w:ascii="Times New Roman" w:hAnsi="Times New Roman" w:eastAsia="仿宋_GB2312" w:cs="Times New Roman"/>
          <w:sz w:val="32"/>
          <w:szCs w:val="32"/>
        </w:rPr>
        <w:t>制定的行政规范性文件与现行的法律、法规、规章和政策规定相一致，根据《浙江省行政规范性文件管理办法》(浙江省人民政府令第372号)的相关规定和要求，对202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月31日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发布的行政规范性文件进行了清理，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起草了《</w:t>
      </w:r>
      <w:r>
        <w:rPr>
          <w:rFonts w:ascii="Times New Roman" w:hAnsi="Times New Roman" w:eastAsia="仿宋_GB2312" w:cs="Times New Roman"/>
          <w:sz w:val="32"/>
          <w:szCs w:val="32"/>
        </w:rPr>
        <w:t>磐安县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农业农村局</w:t>
      </w:r>
      <w:r>
        <w:rPr>
          <w:rFonts w:ascii="Times New Roman" w:hAnsi="Times New Roman" w:eastAsia="仿宋_GB2312" w:cs="Times New Roman"/>
          <w:sz w:val="32"/>
          <w:szCs w:val="32"/>
        </w:rPr>
        <w:t>关于公布行政规范性文件清理结果的通知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》（以下简称《通知》）。</w:t>
      </w:r>
    </w:p>
    <w:p w14:paraId="2D18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二、起草过程</w:t>
      </w:r>
    </w:p>
    <w:p w14:paraId="66F857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根据县司法局的统一部署，局法制审批科从6月3日开始，对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月31日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发布的行政规范性文件进行了清理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，起草了《</w:t>
      </w:r>
      <w:r>
        <w:rPr>
          <w:rFonts w:ascii="Times New Roman" w:hAnsi="Times New Roman" w:eastAsia="仿宋_GB2312" w:cs="Times New Roman"/>
          <w:sz w:val="32"/>
          <w:szCs w:val="32"/>
        </w:rPr>
        <w:t>磐安县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农业农村局</w:t>
      </w:r>
      <w:r>
        <w:rPr>
          <w:rFonts w:ascii="Times New Roman" w:hAnsi="Times New Roman" w:eastAsia="仿宋_GB2312" w:cs="Times New Roman"/>
          <w:sz w:val="32"/>
          <w:szCs w:val="32"/>
        </w:rPr>
        <w:t>关于公布行政规范性文件清理结果的通知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(征求意见稿）。</w:t>
      </w:r>
    </w:p>
    <w:p w14:paraId="32B4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三、主要内容</w:t>
      </w:r>
    </w:p>
    <w:p w14:paraId="79FD9B6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经清理，</w:t>
      </w:r>
      <w:r>
        <w:rPr>
          <w:rFonts w:ascii="Times New Roman" w:hAnsi="Times New Roman" w:eastAsia="仿宋_GB2312" w:cs="Times New Roman"/>
          <w:sz w:val="32"/>
          <w:szCs w:val="32"/>
        </w:rPr>
        <w:t>继续有效的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18件：《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磐安县农业农村局关于印发《磐安县高标准农田建设项目工程管护制度》的通知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磐农〔2026〕55号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磐安县农业农村局 磐安县财政局关于规范2024-2026年农机购置与应用补贴实施操作细则的通知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磐农〔2026〕54号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auto"/>
          <w:w w:val="90"/>
          <w:sz w:val="32"/>
          <w:szCs w:val="32"/>
          <w:lang w:bidi="ar-SA"/>
        </w:rPr>
        <w:t>磐安县农业农村局 磐安县财政局关于印发《磐安县农民培训项目与资金管理办法（试行）》的通知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0"/>
          <w:sz w:val="32"/>
          <w:szCs w:val="32"/>
          <w:lang w:bidi="ar-SA"/>
        </w:rPr>
        <w:t>磐农〔2026〕16号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sz w:val="32"/>
          <w:szCs w:val="32"/>
          <w:lang w:eastAsia="zh-CN" w:bidi="ar-SA"/>
        </w:rPr>
        <w:t>磐安县农业农村局 磐安县财政局</w:t>
      </w:r>
      <w:r>
        <w:rPr>
          <w:rFonts w:hint="eastAsia" w:ascii="Times New Roman" w:hAnsi="Times New Roman" w:eastAsia="仿宋_GB2312" w:cs="CESI仿宋-GB2312"/>
          <w:color w:val="000000"/>
          <w:sz w:val="32"/>
          <w:szCs w:val="32"/>
          <w:lang w:val="en-US" w:eastAsia="zh-CN" w:bidi="ar-SA"/>
        </w:rPr>
        <w:t>关于进一步加强分散居住人口供水管理的通知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0"/>
          <w:sz w:val="32"/>
          <w:szCs w:val="32"/>
          <w:lang w:bidi="ar-SA"/>
        </w:rPr>
        <w:t>磐农〔2025〕149号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sz w:val="32"/>
          <w:szCs w:val="32"/>
          <w:lang w:eastAsia="zh-CN" w:bidi="ar-SA"/>
        </w:rPr>
        <w:t>磐安县农业农村局 磐安县财政局关于印发《2026年磐安县“庭院经济”（试点）项目实施方案》的通知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0"/>
          <w:sz w:val="32"/>
          <w:szCs w:val="32"/>
          <w:lang w:bidi="ar-SA"/>
        </w:rPr>
        <w:t>磐 农 〔2025〕126号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0"/>
          <w:sz w:val="32"/>
          <w:szCs w:val="32"/>
          <w:lang w:bidi="ar-SA"/>
        </w:rPr>
        <w:t>磐安县农业农村局 磐安县财政局关于印发《磐安县现代“新农人”贷款贴息政策实施细则（试行）》的通知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-SA"/>
        </w:rPr>
        <w:t>磐农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-SA"/>
        </w:rPr>
        <w:t>〔2025〕71号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0"/>
          <w:sz w:val="32"/>
          <w:szCs w:val="32"/>
          <w:lang w:val="en-US" w:eastAsia="zh-CN" w:bidi="ar-SA"/>
        </w:rPr>
        <w:t>磐安县农业农村局 磐安县财政局关于印发《磐安县落实低收入农户公益性岗位实施细则（修订）》的通知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0"/>
          <w:sz w:val="32"/>
          <w:szCs w:val="32"/>
          <w:lang w:bidi="ar-SA"/>
        </w:rPr>
        <w:t>磐农〔2025〕95号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磐安县农业农村局 磐安县财政局关于印发《磐安县耕地地力保护补贴实施细则（试行）》的通知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磐农〔2025〕12号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磐安县粮食生产贷款贴息政策实施细则（试行）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磐农〔2024〕252号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磐安县农作物秸秆收储运体系建设实施方案（试行）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磐农〔2024〕255号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磐安县规范强村公司运营管理的指导意见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磐农〔2024〕233号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磐安县推进未来乡村建设扶持政策（修订）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磐农〔2024〕145号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关于印发《磐安县巩固拓展脱贫攻坚同乡村振兴有效衔接扶持政策》的通知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磐农〔2024〕15号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磐安县财政局 磐安县农业农村局关于印发《磐安县水利建设和发展资金管理细则》的通知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磐财农〔2023〕172号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关于印发《磐安县农业农村高质量发展扶持政策（修订）》的通知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磐农〔2023〕289号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磐安县动物疫病强制免疫“先打后补政策改革实施方案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磐农〔2023〕120号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关于印发《磐安县节约用水奖励办法》的通知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磐农〔2022〕180号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CESI仿宋-GB2312"/>
          <w:color w:val="000000"/>
          <w:kern w:val="2"/>
          <w:sz w:val="32"/>
          <w:szCs w:val="32"/>
          <w:lang w:bidi="ar-SA"/>
        </w:rPr>
        <w:t>关于印发《磐安县农村公厕规范化管理办法（试行）》的通知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磐农〔2020〕226号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）；</w:t>
      </w:r>
      <w:r>
        <w:rPr>
          <w:rFonts w:ascii="Times New Roman" w:hAnsi="Times New Roman" w:eastAsia="仿宋_GB2312" w:cs="Times New Roman"/>
          <w:sz w:val="32"/>
          <w:szCs w:val="32"/>
        </w:rPr>
        <w:t>废止的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2件：《</w:t>
      </w:r>
      <w:r>
        <w:rPr>
          <w:rFonts w:hint="eastAsia" w:ascii="Times New Roman" w:hAnsi="Times New Roman" w:eastAsia="仿宋_GB2312" w:cs="仿宋_GB2312"/>
          <w:kern w:val="0"/>
          <w:sz w:val="32"/>
          <w:szCs w:val="22"/>
          <w:lang w:val="en-US" w:eastAsia="zh-CN" w:bidi="ar-SA"/>
        </w:rPr>
        <w:t>关于印发《磐安县推进未来乡村建设扶持政策》的通知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/>
          <w:sz w:val="32"/>
        </w:rPr>
        <w:t>磐农〔2022〕337号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）、《</w:t>
      </w:r>
      <w:r>
        <w:rPr>
          <w:rFonts w:hint="eastAsia" w:ascii="Times New Roman" w:hAnsi="Times New Roman" w:eastAsia="仿宋_GB2312" w:cs="仿宋_GB2312"/>
          <w:kern w:val="0"/>
          <w:sz w:val="32"/>
          <w:szCs w:val="22"/>
          <w:lang w:val="en-US" w:eastAsia="zh-CN" w:bidi="ar-SA"/>
        </w:rPr>
        <w:t>磐安县落实低收入农户公益性岗位实施细则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宋体"/>
          <w:sz w:val="32"/>
          <w:szCs w:val="20"/>
          <w:lang w:val="en-US" w:eastAsia="zh-CN" w:bidi="ar-SA"/>
        </w:rPr>
        <w:t>磐农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〔</w:t>
      </w:r>
      <w:r>
        <w:rPr>
          <w:rFonts w:hint="eastAsia" w:ascii="Times New Roman" w:hAnsi="Times New Roman" w:eastAsia="仿宋_GB2312" w:cs="宋体"/>
          <w:sz w:val="32"/>
          <w:szCs w:val="20"/>
          <w:lang w:val="en-US" w:eastAsia="zh-CN" w:bidi="ar-SA"/>
        </w:rPr>
        <w:t>2023</w:t>
      </w:r>
      <w:r>
        <w:rPr>
          <w:rFonts w:hint="eastAsia" w:ascii="Times New Roman" w:hAnsi="Times New Roman" w:eastAsia="仿宋_GB2312" w:cs="CESI仿宋-GB2312"/>
          <w:kern w:val="2"/>
          <w:sz w:val="32"/>
          <w:szCs w:val="32"/>
          <w:lang w:bidi="ar-SA"/>
        </w:rPr>
        <w:t>〕</w:t>
      </w:r>
      <w:r>
        <w:rPr>
          <w:rFonts w:hint="eastAsia" w:ascii="Times New Roman" w:hAnsi="Times New Roman" w:eastAsia="仿宋_GB2312" w:cs="宋体"/>
          <w:sz w:val="32"/>
          <w:szCs w:val="20"/>
          <w:lang w:val="en-US" w:eastAsia="zh-CN" w:bidi="ar-SA"/>
        </w:rPr>
        <w:t>85号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28321">
    <w:pPr>
      <w:pStyle w:val="8"/>
      <w:jc w:val="center"/>
    </w:pPr>
  </w:p>
  <w:p w14:paraId="3D7A592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Y0NjUwNDdmMjA4MmFlZGNlMzgyOTM0NTQ4MzQ1ZjEifQ=="/>
  </w:docVars>
  <w:rsids>
    <w:rsidRoot w:val="00000000"/>
    <w:rsid w:val="5F373B7F"/>
    <w:rsid w:val="F77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6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  <w:rPr>
      <w:sz w:val="20"/>
      <w:szCs w:val="20"/>
    </w:rPr>
  </w:style>
  <w:style w:type="paragraph" w:styleId="3">
    <w:name w:val="Body Text"/>
    <w:basedOn w:val="1"/>
    <w:next w:val="2"/>
    <w:qFormat/>
    <w:uiPriority w:val="0"/>
  </w:style>
  <w:style w:type="paragraph" w:styleId="7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heading 1 Char"/>
    <w:basedOn w:val="12"/>
    <w:link w:val="4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2"/>
    <w:link w:val="5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2"/>
    <w:link w:val="6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4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  <w:szCs w:val="20"/>
    </w:rPr>
  </w:style>
  <w:style w:type="character" w:customStyle="1" w:styleId="27">
    <w:name w:val="font41"/>
    <w:basedOn w:val="12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21"/>
    <w:basedOn w:val="1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01"/>
    <w:basedOn w:val="12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1">
    <w:name w:val="font11"/>
    <w:basedOn w:val="12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DB0E666E-96F5-4BED-B7DD-09C7E02BE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3</Pages>
  <Words>0</Words>
  <Characters>994</Characters>
  <Lines>0</Lines>
  <Paragraphs>9</Paragraphs>
  <TotalTime>0</TotalTime>
  <ScaleCrop>false</ScaleCrop>
  <LinksUpToDate>false</LinksUpToDate>
  <CharactersWithSpaces>1326</CharactersWithSpaces>
  <Application>WPS Office_12.8.2.1117_F1E327BC-269C-435d-A152-05C5408002CA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2020-11-05T00:49:00Z</dcterms:created>
  <dc:creator>孔丽丹</dc:creator>
  <cp:lastModifiedBy>ryrcj-2211</cp:lastModifiedBy>
  <cp:lastPrinted>2026-06-10T17:04:00Z</cp:lastPrinted>
  <dcterms:modified xsi:type="dcterms:W3CDTF">2026-07-03T08:39:22Z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611B8E6AAF7F6255C17910671024F4EE</vt:lpwstr>
  </property>
</Properties>
</file>